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704FB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704FB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704FB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704FB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704FB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704FB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704FBF"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704FB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704FB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704FB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704FB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704FBF"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704FB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704FB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w:t>
            </w:r>
            <w:proofErr w:type="gramStart"/>
            <w:r w:rsidRPr="00544433">
              <w:rPr>
                <w:rFonts w:asciiTheme="minorHAnsi" w:hAnsiTheme="minorHAnsi" w:cstheme="minorHAnsi"/>
                <w:lang w:val="en-GB"/>
              </w:rPr>
              <w:t>in particular for</w:t>
            </w:r>
            <w:proofErr w:type="gramEnd"/>
            <w:r w:rsidRPr="00544433">
              <w:rPr>
                <w:rFonts w:asciiTheme="minorHAnsi" w:hAnsiTheme="minorHAnsi" w:cstheme="minorHAnsi"/>
                <w:lang w:val="en-GB"/>
              </w:rPr>
              <w:t xml:space="preserve">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46E3"/>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4FBF"/>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380B"/>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C4380B"/>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62B40652-6FCC-4091-AEBD-49F5A2B9CF80}"/>
</file>

<file path=customXml/itemProps4.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2319</Words>
  <Characters>13132</Characters>
  <Application>Microsoft Office Word</Application>
  <DocSecurity>0</DocSecurity>
  <Lines>625</Lines>
  <Paragraphs>280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15171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SAMRAY Christophe (EAC)</cp:lastModifiedBy>
  <cp:revision>2</cp:revision>
  <cp:lastPrinted>2021-02-09T14:36:00Z</cp:lastPrinted>
  <dcterms:created xsi:type="dcterms:W3CDTF">2025-03-12T13:17:00Z</dcterms:created>
  <dcterms:modified xsi:type="dcterms:W3CDTF">2025-03-12T13:17:00Z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